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70FF" w:rsidRPr="000D157E" w:rsidRDefault="00C770FF" w:rsidP="008B46DA">
      <w:pPr>
        <w:pStyle w:val="Titel"/>
        <w:rPr>
          <w:lang w:val="en-US"/>
        </w:rPr>
      </w:pPr>
      <w:bookmarkStart w:id="0" w:name="_GoBack"/>
      <w:bookmarkEnd w:id="0"/>
      <w:r w:rsidRPr="000D157E">
        <w:rPr>
          <w:lang w:val="en-US"/>
        </w:rPr>
        <w:t xml:space="preserve">Close Watch Group Integriteit </w:t>
      </w:r>
    </w:p>
    <w:p w:rsidR="00C770FF" w:rsidRPr="000D157E" w:rsidRDefault="00C770FF" w:rsidP="008B46DA">
      <w:pPr>
        <w:pStyle w:val="Ondertitel"/>
        <w:spacing w:line="240" w:lineRule="auto"/>
        <w:rPr>
          <w:sz w:val="22"/>
          <w:szCs w:val="22"/>
          <w:lang w:val="en-US"/>
        </w:rPr>
      </w:pPr>
      <w:r w:rsidRPr="000D157E">
        <w:rPr>
          <w:lang w:val="en-US"/>
        </w:rPr>
        <w:t>4 maart</w:t>
      </w:r>
      <w:r w:rsidRPr="000D157E">
        <w:rPr>
          <w:sz w:val="22"/>
          <w:szCs w:val="22"/>
          <w:lang w:val="en-US"/>
        </w:rPr>
        <w:t xml:space="preserve"> 2012, Dr. Alex Straathof, lector Management van Cultuurverandering</w:t>
      </w:r>
    </w:p>
    <w:p w:rsidR="00C770FF" w:rsidRDefault="00C770FF" w:rsidP="004B47C9">
      <w:pPr>
        <w:pStyle w:val="Kop1"/>
        <w:spacing w:line="240" w:lineRule="auto"/>
        <w:rPr>
          <w:rFonts w:ascii="Calibri" w:hAnsi="Calibri"/>
          <w:sz w:val="22"/>
          <w:szCs w:val="22"/>
          <w:lang w:val="en-GB"/>
        </w:rPr>
      </w:pPr>
      <w:r>
        <w:rPr>
          <w:rFonts w:ascii="Calibri" w:hAnsi="Calibri"/>
          <w:sz w:val="22"/>
          <w:szCs w:val="22"/>
          <w:lang w:val="en-GB"/>
        </w:rPr>
        <w:t>“M</w:t>
      </w:r>
      <w:r w:rsidRPr="000B04E2">
        <w:rPr>
          <w:rFonts w:ascii="Calibri" w:hAnsi="Calibri"/>
          <w:sz w:val="22"/>
          <w:szCs w:val="22"/>
          <w:lang w:val="en-GB"/>
        </w:rPr>
        <w:t>isuse of power for private gane</w:t>
      </w:r>
      <w:r>
        <w:rPr>
          <w:rFonts w:ascii="Calibri" w:hAnsi="Calibri"/>
          <w:sz w:val="22"/>
          <w:szCs w:val="22"/>
          <w:lang w:val="en-GB"/>
        </w:rPr>
        <w:t>.”</w:t>
      </w:r>
    </w:p>
    <w:p w:rsidR="00C770FF" w:rsidRPr="00710DC4" w:rsidRDefault="00C770FF" w:rsidP="004B47C9">
      <w:pPr>
        <w:spacing w:line="240" w:lineRule="auto"/>
        <w:rPr>
          <w:color w:val="365F91"/>
        </w:rPr>
      </w:pPr>
      <w:r w:rsidRPr="00710DC4">
        <w:rPr>
          <w:color w:val="365F91"/>
        </w:rPr>
        <w:t>Definitie van corruptie van Transparancy Internatonal</w:t>
      </w:r>
    </w:p>
    <w:p w:rsidR="00C770FF" w:rsidRDefault="00C770FF" w:rsidP="004B47C9">
      <w:pPr>
        <w:pStyle w:val="Kop1"/>
        <w:spacing w:line="240" w:lineRule="auto"/>
      </w:pPr>
      <w:r>
        <w:t>Inleiding</w:t>
      </w:r>
    </w:p>
    <w:p w:rsidR="00C770FF" w:rsidRDefault="00C770FF" w:rsidP="008302B0">
      <w:pPr>
        <w:spacing w:line="240" w:lineRule="auto"/>
      </w:pPr>
      <w:r>
        <w:t xml:space="preserve">Uitspraken van Prof dr Fijnaut in het NRC (1 oktober 2011) hebben geïnspireerd tot de invulling van de in dit stuk beschreven onderzoekslijn: </w:t>
      </w:r>
    </w:p>
    <w:p w:rsidR="00C770FF" w:rsidRDefault="00C770FF" w:rsidP="008302B0">
      <w:pPr>
        <w:pStyle w:val="Normaalweb"/>
        <w:ind w:left="708"/>
        <w:rPr>
          <w:rFonts w:ascii="Georgia" w:hAnsi="Georgia"/>
          <w:sz w:val="17"/>
          <w:szCs w:val="17"/>
        </w:rPr>
      </w:pPr>
      <w:r>
        <w:rPr>
          <w:rFonts w:ascii="Georgia" w:hAnsi="Georgia"/>
          <w:sz w:val="17"/>
          <w:szCs w:val="17"/>
        </w:rPr>
        <w:t>“Criminologie is van oudsher onderklassecriminologie. Gericht op gewone misdaad: vermogens-, gewelds-, zedendelicten. Ze gaat vaak voorbij aan veel ernstiger vormen van criminaliteit: georganiseerde misdaad en organisatiecriminaliteit. Legale bedrijven plegen organisatiecriminaliteit om de kosten te drukken en winsten te vergroten. () Dat geldt in onze tijd nog sterker. Kijk wat er in de financiële sector is gebeurd.”</w:t>
      </w:r>
    </w:p>
    <w:p w:rsidR="00C770FF" w:rsidRDefault="00C770FF" w:rsidP="004B47C9">
      <w:pPr>
        <w:pStyle w:val="Normaalweb"/>
        <w:rPr>
          <w:rFonts w:ascii="Calibri" w:hAnsi="Calibri"/>
          <w:sz w:val="22"/>
          <w:szCs w:val="22"/>
        </w:rPr>
      </w:pPr>
      <w:r>
        <w:rPr>
          <w:rFonts w:ascii="Calibri" w:hAnsi="Calibri"/>
          <w:sz w:val="22"/>
          <w:szCs w:val="22"/>
        </w:rPr>
        <w:t xml:space="preserve">Wij moeten er wat aan doen, aan die organisatiecriminaliteit. Maar mogelijk niet via het strafrecht. Eerder door het bloot te stellen aan de openbaarheid, opdat we mensen de ogen ervoor zullen openen. </w:t>
      </w:r>
    </w:p>
    <w:p w:rsidR="00C770FF" w:rsidRPr="007E67A2" w:rsidRDefault="00C770FF" w:rsidP="004B47C9">
      <w:pPr>
        <w:pStyle w:val="Normaalweb"/>
        <w:rPr>
          <w:rFonts w:ascii="Calibri" w:hAnsi="Calibri"/>
          <w:sz w:val="22"/>
          <w:szCs w:val="22"/>
        </w:rPr>
      </w:pPr>
      <w:r w:rsidRPr="007E67A2">
        <w:rPr>
          <w:rFonts w:ascii="Calibri" w:hAnsi="Calibri"/>
          <w:sz w:val="22"/>
          <w:szCs w:val="22"/>
        </w:rPr>
        <w:t xml:space="preserve">Door Transparancy International ben ik gevraagd als external reviewer op te treden voor het Nederlandse onderzoek naar </w:t>
      </w:r>
      <w:r>
        <w:rPr>
          <w:rFonts w:ascii="Calibri" w:hAnsi="Calibri"/>
          <w:sz w:val="22"/>
          <w:szCs w:val="22"/>
        </w:rPr>
        <w:t>het</w:t>
      </w:r>
      <w:r w:rsidRPr="007E67A2">
        <w:rPr>
          <w:rFonts w:ascii="Calibri" w:hAnsi="Calibri"/>
          <w:sz w:val="22"/>
          <w:szCs w:val="22"/>
        </w:rPr>
        <w:t xml:space="preserve"> National Integrity Systeem. Uit dit zeer omvangrijke onderzoek </w:t>
      </w:r>
      <w:r>
        <w:rPr>
          <w:rFonts w:ascii="Calibri" w:hAnsi="Calibri"/>
          <w:sz w:val="22"/>
          <w:szCs w:val="22"/>
        </w:rPr>
        <w:t xml:space="preserve">(dat eens in de 10 jaar plaatsvindt) </w:t>
      </w:r>
      <w:r w:rsidRPr="007E67A2">
        <w:rPr>
          <w:rFonts w:ascii="Calibri" w:hAnsi="Calibri"/>
          <w:sz w:val="22"/>
          <w:szCs w:val="22"/>
        </w:rPr>
        <w:t xml:space="preserve">wordt duidelijk dat </w:t>
      </w:r>
      <w:r>
        <w:rPr>
          <w:rFonts w:ascii="Calibri" w:hAnsi="Calibri"/>
          <w:sz w:val="22"/>
          <w:szCs w:val="22"/>
        </w:rPr>
        <w:t>Nederland (in tegenstelling tot andere Europese landen) geneigd is alle beleidsinspanningen te richten op het bevorderen van integriteit, maar dat anti-corruptie-inspanningen node gemist worden. Grootschalige integriteitschendingen in de bouw- en vastgoedsector, bankenwereld en medische wereld maken duidelijk dat corruptie een maatschappelijk probleem vormt, waarbij alleen pro-integriteit inspanningen onvoldoende doeltreffend zijn</w:t>
      </w:r>
      <w:r w:rsidRPr="008041F2">
        <w:rPr>
          <w:rFonts w:ascii="Calibri" w:hAnsi="Calibri"/>
          <w:sz w:val="22"/>
          <w:szCs w:val="22"/>
        </w:rPr>
        <w:t xml:space="preserve">. </w:t>
      </w:r>
      <w:r>
        <w:rPr>
          <w:rFonts w:ascii="Calibri" w:hAnsi="Calibri"/>
          <w:sz w:val="22"/>
          <w:szCs w:val="22"/>
        </w:rPr>
        <w:t xml:space="preserve">Vandaar dat de eerdere titel (Organisatie-integriteit) is verlaten en is vervangen door ‘corrumperend’. Dat duidt op de werking van grootschalige schendingen. Waar bevordering van integriteit dingen heel maakt, maken schendingen de dingen en de mensen stuk. Dat is de diepere betekenis van corrumperen: verval. </w:t>
      </w:r>
    </w:p>
    <w:p w:rsidR="00C770FF" w:rsidRDefault="00C770FF" w:rsidP="004B47C9">
      <w:pPr>
        <w:pStyle w:val="Kop1"/>
        <w:spacing w:line="240" w:lineRule="auto"/>
      </w:pPr>
      <w:r>
        <w:t>Plaatsbepaling</w:t>
      </w:r>
    </w:p>
    <w:p w:rsidR="00C770FF" w:rsidRDefault="00C770FF" w:rsidP="004B47C9">
      <w:pPr>
        <w:spacing w:line="240" w:lineRule="auto"/>
      </w:pPr>
      <w:r>
        <w:t>Het lectoraat Management van Cultuurverandering van de Hogeschool van Amsterdam (HvA) richt zich op organisaties binnen de metropool Amsterdam die hun performance willen verbeteren middels organisatieontwikkeling. Het lectoraat wil door cultuuronderzoek en –advies hen hierbij behulpzaam zijn. Het lectoraat wordt bekostigd door het domein Maatschappij en Recht (DMR). De werkzaamheden zijn samengebracht in het Urban Lab, een samenwerkingsverband van de domeinen DMR, Economie en Management (DEM) en Techniek (DT), waarin meerdere lectoren grootstedelijke onderzoeksprojecten uitvoeren. Binnen het lectoraat Management van Cultuurverandering worden vier onderzoekslijnen onderscheiden, waarin een of meerdere onderzoeken zijn ondergebracht:</w:t>
      </w:r>
    </w:p>
    <w:p w:rsidR="00C770FF" w:rsidRDefault="00C770FF" w:rsidP="004B47C9">
      <w:pPr>
        <w:pStyle w:val="Lijstalinea"/>
        <w:numPr>
          <w:ilvl w:val="0"/>
          <w:numId w:val="2"/>
        </w:numPr>
        <w:spacing w:line="240" w:lineRule="auto"/>
      </w:pPr>
      <w:r>
        <w:t>Effectieve organisatieculturen</w:t>
      </w:r>
    </w:p>
    <w:p w:rsidR="00C770FF" w:rsidRDefault="00C770FF" w:rsidP="004B47C9">
      <w:pPr>
        <w:pStyle w:val="Lijstalinea"/>
        <w:numPr>
          <w:ilvl w:val="0"/>
          <w:numId w:val="2"/>
        </w:numPr>
        <w:spacing w:line="240" w:lineRule="auto"/>
      </w:pPr>
      <w:r>
        <w:t>Cultuurfricties bij samenwerking</w:t>
      </w:r>
    </w:p>
    <w:p w:rsidR="00C770FF" w:rsidRDefault="00C770FF" w:rsidP="004B47C9">
      <w:pPr>
        <w:pStyle w:val="Lijstalinea"/>
        <w:numPr>
          <w:ilvl w:val="0"/>
          <w:numId w:val="2"/>
        </w:numPr>
        <w:spacing w:line="240" w:lineRule="auto"/>
      </w:pPr>
      <w:r>
        <w:t>Burgerparticipatie en overheidsculturen</w:t>
      </w:r>
    </w:p>
    <w:p w:rsidR="00C770FF" w:rsidRDefault="00C770FF" w:rsidP="008B46DA">
      <w:pPr>
        <w:pStyle w:val="Lijstalinea"/>
        <w:numPr>
          <w:ilvl w:val="0"/>
          <w:numId w:val="2"/>
        </w:numPr>
        <w:spacing w:line="240" w:lineRule="auto"/>
      </w:pPr>
      <w:r>
        <w:t>Close Watch Group Integriteit</w:t>
      </w:r>
    </w:p>
    <w:p w:rsidR="00C770FF" w:rsidRDefault="00C770FF" w:rsidP="004B47C9">
      <w:pPr>
        <w:spacing w:line="240" w:lineRule="auto"/>
      </w:pPr>
      <w:r>
        <w:t xml:space="preserve">Voor de vierde onderzoekslijn zal een Close Watch Group (CWG) worden opgericht. Dit van oorsprong Amerikaanse begrip (actuele voorbeelden zijn Human Rights Watch, Green Peace en </w:t>
      </w:r>
      <w:r>
        <w:lastRenderedPageBreak/>
        <w:t xml:space="preserve">Transparancy International) duidt op een groep burgers die vanuit hun maatschappelijke interesse een specifiek onderwerp grondig uitdiept. Via de media worden onderzoeksresultaten gedeeld. In het geval van de CWG zal het onderzoeksteam voornamelijk bestaan uit studenten en gepensioneerde deskundigen. De coördinatie van de groep zal in handen zijn van een onderzoekscoördinator. Mogelijk dat op termijn tevens iemand kan promoveren op het uitgevoerde onderzoek. </w:t>
      </w:r>
    </w:p>
    <w:p w:rsidR="00C770FF" w:rsidRDefault="00C770FF" w:rsidP="004B47C9">
      <w:pPr>
        <w:spacing w:line="240" w:lineRule="auto"/>
      </w:pPr>
      <w:r>
        <w:t xml:space="preserve">In dit stuk wordt ingegaan op het doel van de CWG, de structuur, de werkzaamheden en de planning. Het zal binnen DMR worden besproken waarna het dienst zal doen als onderlegger voor de opstartende vergadering met een deel van de deelnemers. </w:t>
      </w:r>
    </w:p>
    <w:p w:rsidR="00C770FF" w:rsidRDefault="00C770FF" w:rsidP="004B47C9">
      <w:pPr>
        <w:pStyle w:val="Kop1"/>
        <w:spacing w:line="240" w:lineRule="auto"/>
      </w:pPr>
      <w:r>
        <w:t>Doel</w:t>
      </w:r>
    </w:p>
    <w:p w:rsidR="00C770FF" w:rsidRDefault="00C770FF" w:rsidP="004B47C9">
      <w:pPr>
        <w:spacing w:line="240" w:lineRule="auto"/>
      </w:pPr>
      <w:r>
        <w:t>De CWG zal zich richten op organisaties, dus niet op individuen binnen organisaties die over de schreef gaan. Het doel is integriteitbevordering door corruptierisico’s aan het licht te brengen. Het CWG heeft als doel:</w:t>
      </w:r>
    </w:p>
    <w:p w:rsidR="00C770FF" w:rsidRDefault="00C770FF" w:rsidP="004B47C9">
      <w:pPr>
        <w:pStyle w:val="Lijstalinea"/>
        <w:numPr>
          <w:ilvl w:val="0"/>
          <w:numId w:val="1"/>
        </w:numPr>
        <w:spacing w:line="240" w:lineRule="auto"/>
      </w:pPr>
      <w:r>
        <w:t>Het blootleggen van werkwijzen, mentaliteiten en verhoudingen van corrumperende organisatieculturen en de contexten waarbinnen deze kunnen voortbestaan</w:t>
      </w:r>
    </w:p>
    <w:p w:rsidR="00C770FF" w:rsidRDefault="00C770FF" w:rsidP="004B47C9">
      <w:pPr>
        <w:pStyle w:val="Lijstalinea"/>
        <w:numPr>
          <w:ilvl w:val="0"/>
          <w:numId w:val="1"/>
        </w:numPr>
        <w:spacing w:line="240" w:lineRule="auto"/>
      </w:pPr>
      <w:r>
        <w:t xml:space="preserve">Inzicht in de red flags, de signalen, die duiden op een corrumperende cultuur en de mate waarin de organisatie-integriteit is aangetast. </w:t>
      </w:r>
    </w:p>
    <w:p w:rsidR="00C770FF" w:rsidRDefault="00C770FF" w:rsidP="004B47C9">
      <w:pPr>
        <w:pStyle w:val="Lijstalinea"/>
        <w:numPr>
          <w:ilvl w:val="0"/>
          <w:numId w:val="1"/>
        </w:numPr>
        <w:spacing w:line="240" w:lineRule="auto"/>
      </w:pPr>
      <w:r>
        <w:t xml:space="preserve">Het doorontwikkelen van het Cultuur-Arena Model, zoals dat binnen het lectoraat gebruikt wordt, naar een cultuurtheorie, in de zin dat gezocht zal worden naar het kunnen doen van voorspellende uitspraken op basis van red flags, signalen die duiden op een bepaalde mate van gecorrumpeerdheid binnen een organisatie. </w:t>
      </w:r>
    </w:p>
    <w:p w:rsidR="00C770FF" w:rsidRDefault="00C770FF" w:rsidP="004B47C9">
      <w:pPr>
        <w:pStyle w:val="Lijstalinea"/>
        <w:numPr>
          <w:ilvl w:val="0"/>
          <w:numId w:val="1"/>
        </w:numPr>
        <w:spacing w:line="240" w:lineRule="auto"/>
      </w:pPr>
      <w:r>
        <w:t xml:space="preserve">Dit onderzoek als geheel dient voor de metropool Amsterdam het verbeteren van het publieke opdrachtgeverschap. Als er sprake kan zijn van een corrumperende cultuur dan kan een overheidsinstantie hieraan gevolgen verbinden voor de samenwerking. Dit dient het gezond maken van organisaties in het algemeen en een evenwichtige mededinging binnen een economisch gunstig klimaat in het bijzonder. </w:t>
      </w:r>
    </w:p>
    <w:p w:rsidR="00C770FF" w:rsidRDefault="00C770FF" w:rsidP="004B47C9">
      <w:pPr>
        <w:pStyle w:val="Lijstalinea"/>
        <w:numPr>
          <w:ilvl w:val="0"/>
          <w:numId w:val="1"/>
        </w:numPr>
        <w:spacing w:line="240" w:lineRule="auto"/>
      </w:pPr>
      <w:r>
        <w:t>Resultaten van onderzoek zullen worden gepubliceerd. Journalisten en overheden kunnen op basis hiervan verder werk verrichten.</w:t>
      </w:r>
    </w:p>
    <w:p w:rsidR="00C770FF" w:rsidRDefault="00C770FF" w:rsidP="004B47C9">
      <w:pPr>
        <w:pStyle w:val="Lijstalinea"/>
        <w:spacing w:line="240" w:lineRule="auto"/>
        <w:ind w:left="0"/>
      </w:pPr>
    </w:p>
    <w:p w:rsidR="00C770FF" w:rsidRDefault="00C770FF" w:rsidP="004B47C9">
      <w:pPr>
        <w:pStyle w:val="Lijstalinea"/>
        <w:spacing w:line="240" w:lineRule="auto"/>
        <w:ind w:left="0"/>
      </w:pPr>
      <w:r>
        <w:t>Vanwege deze algemene doelstellingen zal niet gekozen worden voor een specifieke branche of type corruptie. Het doel is in de breedte kennis te ontwikkelen over mogelijke integriteitschendingen en de corrumperende werking die deze op organisaties hebben.</w:t>
      </w:r>
      <w:r w:rsidR="007A0334">
        <w:t xml:space="preserve"> </w:t>
      </w:r>
    </w:p>
    <w:p w:rsidR="00C770FF" w:rsidRDefault="00C770FF" w:rsidP="004B47C9">
      <w:pPr>
        <w:spacing w:line="240" w:lineRule="auto"/>
      </w:pPr>
      <w:r>
        <w:t xml:space="preserve">Om de onafhankelijkheid te waarborgen zal de CWG geen vergoeding geven voor werkzaamheden van haar deelnemers. Alleen de onderzoekscoördinator krijgt een betaalde aanstelling. Dat is nodig om continuïteit te kunnen garanderen. Hoe die kosten worden gedragen, is nog onderwerp van gesprek. </w:t>
      </w:r>
    </w:p>
    <w:p w:rsidR="00C770FF" w:rsidRDefault="00C770FF" w:rsidP="004B47C9">
      <w:pPr>
        <w:pStyle w:val="Kop1"/>
        <w:spacing w:line="240" w:lineRule="auto"/>
      </w:pPr>
      <w:r>
        <w:t>Structuur</w:t>
      </w:r>
    </w:p>
    <w:p w:rsidR="00C770FF" w:rsidRDefault="00C770FF" w:rsidP="004B47C9">
      <w:pPr>
        <w:spacing w:line="240" w:lineRule="auto"/>
      </w:pPr>
      <w:r>
        <w:t xml:space="preserve">Eindverantwoordelijk voor de CWG is Alex Straathof, lector Management van Cultuurverandering, HvA. De CWG wordt gesteund door een Advocacy Board. </w:t>
      </w:r>
    </w:p>
    <w:p w:rsidR="00C770FF" w:rsidRDefault="00C770FF" w:rsidP="004B47C9">
      <w:pPr>
        <w:spacing w:line="240" w:lineRule="auto"/>
      </w:pPr>
      <w:r>
        <w:t xml:space="preserve">De Advocacy Board, die </w:t>
      </w:r>
      <w:r w:rsidR="00E34C47">
        <w:t>vier maal per</w:t>
      </w:r>
      <w:r>
        <w:t xml:space="preserve"> jaar bij elkaar komt, heeft als functie goede condities te scheppen voor het onderzoek en bij te dragen aan de verspreiding van resultaten. </w:t>
      </w:r>
      <w:r w:rsidR="00E34C47">
        <w:t>De</w:t>
      </w:r>
      <w:r w:rsidR="008D55FA">
        <w:t xml:space="preserve"> rol van de</w:t>
      </w:r>
      <w:r w:rsidR="00E34C47">
        <w:t xml:space="preserve"> Advocacy Board </w:t>
      </w:r>
      <w:r w:rsidR="008D55FA">
        <w:t xml:space="preserve">is zowel </w:t>
      </w:r>
      <w:r w:rsidR="00E34C47">
        <w:t xml:space="preserve">beslissend als beschermend. </w:t>
      </w:r>
      <w:r>
        <w:t xml:space="preserve">De leden van de Advocacy Board worden aangezocht omdat zij beschikken over een relevant netwerk en deskundigheid inbrengen. Deze groep </w:t>
      </w:r>
      <w:r>
        <w:lastRenderedPageBreak/>
        <w:t>zal back up geven wanneer voor organisaties onwelgevallige boodschappen bekend worden gemaakt. Onder andere wordt gedacht aan de volgende personen:</w:t>
      </w:r>
    </w:p>
    <w:p w:rsidR="00C770FF" w:rsidRDefault="00C770FF" w:rsidP="004B47C9">
      <w:pPr>
        <w:pStyle w:val="Lijstalinea"/>
        <w:numPr>
          <w:ilvl w:val="0"/>
          <w:numId w:val="3"/>
        </w:numPr>
        <w:spacing w:line="240" w:lineRule="auto"/>
      </w:pPr>
      <w:r>
        <w:t>Een voormalig rechter</w:t>
      </w:r>
    </w:p>
    <w:p w:rsidR="00C770FF" w:rsidRDefault="00C770FF" w:rsidP="004B47C9">
      <w:pPr>
        <w:pStyle w:val="Lijstalinea"/>
        <w:numPr>
          <w:ilvl w:val="0"/>
          <w:numId w:val="3"/>
        </w:numPr>
        <w:spacing w:line="240" w:lineRule="auto"/>
      </w:pPr>
      <w:r>
        <w:t>Bob Kassenaar, voormalig beleidsambtenaar gemeente Amsterdam</w:t>
      </w:r>
    </w:p>
    <w:p w:rsidR="00C770FF" w:rsidRDefault="00C770FF" w:rsidP="004B47C9">
      <w:pPr>
        <w:pStyle w:val="Lijstalinea"/>
        <w:numPr>
          <w:ilvl w:val="0"/>
          <w:numId w:val="3"/>
        </w:numPr>
        <w:spacing w:line="240" w:lineRule="auto"/>
      </w:pPr>
      <w:r>
        <w:t>Iemand van Transparancy International (TI)</w:t>
      </w:r>
    </w:p>
    <w:p w:rsidR="00C770FF" w:rsidRDefault="00C770FF" w:rsidP="004B47C9">
      <w:pPr>
        <w:pStyle w:val="Lijstalinea"/>
        <w:numPr>
          <w:ilvl w:val="0"/>
          <w:numId w:val="3"/>
        </w:numPr>
        <w:spacing w:line="240" w:lineRule="auto"/>
      </w:pPr>
      <w:r>
        <w:t>Willem Baumfalk, domeinvoorzitter DMR, HvA</w:t>
      </w:r>
    </w:p>
    <w:p w:rsidR="00C770FF" w:rsidRDefault="00C770FF" w:rsidP="004B47C9">
      <w:pPr>
        <w:pStyle w:val="Lijstalinea"/>
        <w:numPr>
          <w:ilvl w:val="0"/>
          <w:numId w:val="3"/>
        </w:numPr>
        <w:spacing w:line="240" w:lineRule="auto"/>
      </w:pPr>
      <w:r>
        <w:t>Rob van Otterlo, lector Recht, DMR, HvA</w:t>
      </w:r>
    </w:p>
    <w:p w:rsidR="00C770FF" w:rsidRDefault="00C770FF" w:rsidP="004B47C9">
      <w:pPr>
        <w:pStyle w:val="Lijstalinea"/>
        <w:numPr>
          <w:ilvl w:val="0"/>
          <w:numId w:val="3"/>
        </w:numPr>
        <w:spacing w:line="240" w:lineRule="auto"/>
      </w:pPr>
      <w:r>
        <w:t>Willem Verbaan, lector Gebiedsontwikkeling, DT, HvA</w:t>
      </w:r>
    </w:p>
    <w:p w:rsidR="00C770FF" w:rsidRDefault="00C770FF" w:rsidP="004B47C9">
      <w:pPr>
        <w:spacing w:line="240" w:lineRule="auto"/>
      </w:pPr>
      <w:r>
        <w:t>De Advocacy Board zal ook deuren openen voor het opbouwen van een noodzakelijk netwerk. Nu is al duidelijk dat contact gezocht zal gaan worden met de volgende organisaties die in het veld van integriteit en corruptie werkzaam zijn. Te denken valt onder andere aan:</w:t>
      </w:r>
    </w:p>
    <w:p w:rsidR="00C770FF" w:rsidRDefault="00C770FF" w:rsidP="004B47C9">
      <w:pPr>
        <w:pStyle w:val="Lijstalinea"/>
        <w:numPr>
          <w:ilvl w:val="0"/>
          <w:numId w:val="5"/>
        </w:numPr>
        <w:spacing w:line="240" w:lineRule="auto"/>
      </w:pPr>
      <w:r>
        <w:t>Bureau Integriteit gemeente Amsterdam (BI)</w:t>
      </w:r>
    </w:p>
    <w:p w:rsidR="00C770FF" w:rsidRDefault="00C770FF" w:rsidP="004B47C9">
      <w:pPr>
        <w:pStyle w:val="Lijstalinea"/>
        <w:numPr>
          <w:ilvl w:val="0"/>
          <w:numId w:val="5"/>
        </w:numPr>
        <w:spacing w:line="240" w:lineRule="auto"/>
      </w:pPr>
      <w:r>
        <w:t>Bureau Integriteit Nederlandse Gemeenten (BING)</w:t>
      </w:r>
    </w:p>
    <w:p w:rsidR="00C770FF" w:rsidRDefault="00C770FF" w:rsidP="004B47C9">
      <w:pPr>
        <w:pStyle w:val="Lijstalinea"/>
        <w:numPr>
          <w:ilvl w:val="0"/>
          <w:numId w:val="5"/>
        </w:numPr>
        <w:spacing w:line="240" w:lineRule="auto"/>
      </w:pPr>
      <w:r>
        <w:t>Bureau Integriteit Openbare Sector (BIOS)</w:t>
      </w:r>
    </w:p>
    <w:p w:rsidR="00C770FF" w:rsidRDefault="00C770FF" w:rsidP="004B47C9">
      <w:pPr>
        <w:pStyle w:val="Lijstalinea"/>
        <w:numPr>
          <w:ilvl w:val="0"/>
          <w:numId w:val="5"/>
        </w:numPr>
        <w:spacing w:line="240" w:lineRule="auto"/>
      </w:pPr>
      <w:r>
        <w:t>Vakgroep Integriteit van het Openbaar Bestuur, Bestuurskunde, VU</w:t>
      </w:r>
    </w:p>
    <w:p w:rsidR="00C770FF" w:rsidRPr="005D722D" w:rsidRDefault="00C770FF" w:rsidP="004B47C9">
      <w:pPr>
        <w:pStyle w:val="Lijstalinea"/>
        <w:numPr>
          <w:ilvl w:val="0"/>
          <w:numId w:val="5"/>
        </w:numPr>
        <w:spacing w:line="240" w:lineRule="auto"/>
        <w:rPr>
          <w:lang w:val="en-GB"/>
        </w:rPr>
      </w:pPr>
      <w:r w:rsidRPr="005D722D">
        <w:rPr>
          <w:lang w:val="en-GB"/>
        </w:rPr>
        <w:t xml:space="preserve">European Institute Business Ethics (EIBE), Universiteit Nyenrode </w:t>
      </w:r>
    </w:p>
    <w:p w:rsidR="00C770FF" w:rsidRDefault="00C770FF" w:rsidP="004B47C9">
      <w:pPr>
        <w:spacing w:line="240" w:lineRule="auto"/>
      </w:pPr>
      <w:r>
        <w:t>De CWG voert het werk uit. Deze groep wordt aangestuurd door een onderzoekscoördinator, die voor 0,4 – 0,6 fte in dienst komt bij het lectoraat. De kosten voor deze coördinator worden gedragen door het domein Maatschappij en Recht. Deze coördinator stuurt het werk aan, dat grotendeels door studenten wordt uitgevoerd. Gedacht wordt aan de volgende mensen:</w:t>
      </w:r>
    </w:p>
    <w:p w:rsidR="00C770FF" w:rsidRDefault="00C770FF" w:rsidP="004B47C9">
      <w:pPr>
        <w:pStyle w:val="Lijstalinea"/>
        <w:numPr>
          <w:ilvl w:val="0"/>
          <w:numId w:val="4"/>
        </w:numPr>
        <w:spacing w:line="240" w:lineRule="auto"/>
      </w:pPr>
      <w:r>
        <w:t xml:space="preserve">De studenten vanuit de HvA worden aangezocht binnen de verschillende domeinen die betrokken zijn bij het Urban Lab (DMR, DEM, DT). </w:t>
      </w:r>
    </w:p>
    <w:p w:rsidR="00C770FF" w:rsidRDefault="00C770FF" w:rsidP="004B47C9">
      <w:pPr>
        <w:pStyle w:val="Lijstalinea"/>
        <w:numPr>
          <w:ilvl w:val="0"/>
          <w:numId w:val="4"/>
        </w:numPr>
        <w:spacing w:line="240" w:lineRule="auto"/>
      </w:pPr>
      <w:r>
        <w:t xml:space="preserve">Daarnaast zal er gericht gezocht worden naar studenten van de vakgroep Integriteit van het Openbaar Bestuur (Bestuurskunde, VU). Die vakgroep heeft de beschikking over bijzondere kennis rond integriteitontwikkeling in publieke organisaties. </w:t>
      </w:r>
    </w:p>
    <w:p w:rsidR="00C770FF" w:rsidRDefault="00C770FF" w:rsidP="004B47C9">
      <w:pPr>
        <w:pStyle w:val="Lijstalinea"/>
        <w:numPr>
          <w:ilvl w:val="0"/>
          <w:numId w:val="4"/>
        </w:numPr>
        <w:spacing w:line="240" w:lineRule="auto"/>
      </w:pPr>
      <w:r>
        <w:t xml:space="preserve">Verder wordt gezocht naar samenwerking met studenten Criminologie van de UvA. </w:t>
      </w:r>
    </w:p>
    <w:p w:rsidR="00C770FF" w:rsidRDefault="00C770FF" w:rsidP="004B47C9">
      <w:pPr>
        <w:pStyle w:val="Kop1"/>
        <w:spacing w:line="240" w:lineRule="auto"/>
      </w:pPr>
      <w:r>
        <w:t>Werkzaamheden</w:t>
      </w:r>
    </w:p>
    <w:p w:rsidR="00C770FF" w:rsidRDefault="00C770FF" w:rsidP="004B47C9">
      <w:pPr>
        <w:spacing w:line="240" w:lineRule="auto"/>
      </w:pPr>
      <w:r>
        <w:t>Het werk van de CWG wordt in fasen opgebouwd:</w:t>
      </w:r>
    </w:p>
    <w:p w:rsidR="00E34C47" w:rsidRPr="00E34C47" w:rsidRDefault="00C770FF" w:rsidP="00A144AC">
      <w:pPr>
        <w:pStyle w:val="Lijstalinea"/>
        <w:numPr>
          <w:ilvl w:val="0"/>
          <w:numId w:val="10"/>
        </w:numPr>
        <w:spacing w:after="120" w:line="240" w:lineRule="auto"/>
        <w:ind w:left="714" w:hanging="357"/>
        <w:rPr>
          <w:rFonts w:asciiTheme="minorHAnsi" w:hAnsiTheme="minorHAnsi" w:cstheme="minorHAnsi"/>
        </w:rPr>
      </w:pPr>
      <w:r w:rsidRPr="00E34C47">
        <w:rPr>
          <w:rFonts w:asciiTheme="minorHAnsi" w:hAnsiTheme="minorHAnsi" w:cstheme="minorHAnsi"/>
        </w:rPr>
        <w:t>Red flag onderzoek bij corrumperende organisaties waar al veel over bekend is (vastgoed, bouwwereld, banken, beleggingsinstellingen). Dit betreft secundair onderzoek</w:t>
      </w:r>
      <w:r w:rsidR="00E34C47" w:rsidRPr="00E34C47">
        <w:rPr>
          <w:rFonts w:asciiTheme="minorHAnsi" w:hAnsiTheme="minorHAnsi" w:cstheme="minorHAnsi"/>
        </w:rPr>
        <w:t xml:space="preserve"> waarbij gebruik gemaakt zal worden van openbare bronnen</w:t>
      </w:r>
      <w:r w:rsidRPr="00E34C47">
        <w:rPr>
          <w:rFonts w:asciiTheme="minorHAnsi" w:hAnsiTheme="minorHAnsi" w:cstheme="minorHAnsi"/>
        </w:rPr>
        <w:t>.</w:t>
      </w:r>
      <w:r w:rsidR="00A144AC">
        <w:rPr>
          <w:rFonts w:asciiTheme="minorHAnsi" w:hAnsiTheme="minorHAnsi" w:cstheme="minorHAnsi"/>
        </w:rPr>
        <w:t xml:space="preserve"> Het gehanteerde model is het cultuurmodel dat gebruikt wordt in het lectoraat management van cultuurverandering.</w:t>
      </w:r>
    </w:p>
    <w:p w:rsidR="00C770FF" w:rsidRPr="00E34C47" w:rsidRDefault="00C770FF" w:rsidP="00A144AC">
      <w:pPr>
        <w:pStyle w:val="Lijstalinea"/>
        <w:numPr>
          <w:ilvl w:val="0"/>
          <w:numId w:val="10"/>
        </w:numPr>
        <w:spacing w:after="120" w:line="240" w:lineRule="auto"/>
        <w:ind w:left="714" w:hanging="357"/>
        <w:rPr>
          <w:rFonts w:asciiTheme="minorHAnsi" w:hAnsiTheme="minorHAnsi" w:cstheme="minorHAnsi"/>
        </w:rPr>
      </w:pPr>
      <w:r w:rsidRPr="00E34C47">
        <w:rPr>
          <w:rFonts w:asciiTheme="minorHAnsi" w:hAnsiTheme="minorHAnsi" w:cstheme="minorHAnsi"/>
        </w:rPr>
        <w:t xml:space="preserve">Parallel hieraan zal een literatuuronderzoek plaatsvinden. </w:t>
      </w:r>
    </w:p>
    <w:p w:rsidR="00C770FF" w:rsidRPr="00E34C47" w:rsidRDefault="00C770FF" w:rsidP="00A144AC">
      <w:pPr>
        <w:pStyle w:val="Lijstalinea"/>
        <w:numPr>
          <w:ilvl w:val="0"/>
          <w:numId w:val="10"/>
        </w:numPr>
        <w:spacing w:after="120" w:line="240" w:lineRule="auto"/>
        <w:ind w:left="714" w:hanging="357"/>
        <w:rPr>
          <w:rFonts w:asciiTheme="minorHAnsi" w:hAnsiTheme="minorHAnsi" w:cstheme="minorHAnsi"/>
        </w:rPr>
      </w:pPr>
      <w:r w:rsidRPr="00E34C47">
        <w:rPr>
          <w:rFonts w:asciiTheme="minorHAnsi" w:hAnsiTheme="minorHAnsi" w:cstheme="minorHAnsi"/>
        </w:rPr>
        <w:t>Theorievorming over red flags en corrumperende effecten</w:t>
      </w:r>
    </w:p>
    <w:p w:rsidR="00C770FF" w:rsidRPr="00E34C47" w:rsidRDefault="00C770FF" w:rsidP="00A144AC">
      <w:pPr>
        <w:pStyle w:val="Lijstalinea"/>
        <w:numPr>
          <w:ilvl w:val="0"/>
          <w:numId w:val="10"/>
        </w:numPr>
        <w:spacing w:after="120" w:line="240" w:lineRule="auto"/>
        <w:ind w:left="714" w:hanging="357"/>
        <w:rPr>
          <w:rFonts w:asciiTheme="minorHAnsi" w:hAnsiTheme="minorHAnsi" w:cstheme="minorHAnsi"/>
        </w:rPr>
      </w:pPr>
      <w:r w:rsidRPr="00E34C47">
        <w:rPr>
          <w:rFonts w:asciiTheme="minorHAnsi" w:hAnsiTheme="minorHAnsi" w:cstheme="minorHAnsi"/>
        </w:rPr>
        <w:t>Toetsen van voorspellende waarde van verbanden tussen red flags</w:t>
      </w:r>
    </w:p>
    <w:p w:rsidR="00C770FF" w:rsidRPr="00E34C47" w:rsidRDefault="00C770FF" w:rsidP="00A144AC">
      <w:pPr>
        <w:pStyle w:val="Lijstalinea"/>
        <w:numPr>
          <w:ilvl w:val="0"/>
          <w:numId w:val="10"/>
        </w:numPr>
        <w:spacing w:after="120" w:line="240" w:lineRule="auto"/>
        <w:ind w:left="714" w:hanging="357"/>
        <w:rPr>
          <w:rFonts w:asciiTheme="minorHAnsi" w:hAnsiTheme="minorHAnsi" w:cstheme="minorHAnsi"/>
        </w:rPr>
      </w:pPr>
      <w:r w:rsidRPr="00E34C47">
        <w:rPr>
          <w:rFonts w:asciiTheme="minorHAnsi" w:hAnsiTheme="minorHAnsi" w:cstheme="minorHAnsi"/>
        </w:rPr>
        <w:t>Primair onderzoek naar corrumperende organisaties in de metropool Amsterdam</w:t>
      </w:r>
    </w:p>
    <w:p w:rsidR="00C770FF" w:rsidRPr="00E34C47" w:rsidRDefault="00C770FF" w:rsidP="004B47C9">
      <w:pPr>
        <w:pStyle w:val="Kop1"/>
        <w:spacing w:line="240" w:lineRule="auto"/>
        <w:rPr>
          <w:rFonts w:asciiTheme="minorHAnsi" w:hAnsiTheme="minorHAnsi" w:cstheme="minorHAnsi"/>
          <w:sz w:val="22"/>
          <w:szCs w:val="22"/>
        </w:rPr>
      </w:pPr>
      <w:r w:rsidRPr="00E34C47">
        <w:rPr>
          <w:rFonts w:asciiTheme="minorHAnsi" w:hAnsiTheme="minorHAnsi" w:cstheme="minorHAnsi"/>
          <w:sz w:val="22"/>
          <w:szCs w:val="22"/>
        </w:rPr>
        <w:t>Planning</w:t>
      </w:r>
    </w:p>
    <w:p w:rsidR="00C770FF" w:rsidRDefault="00C770FF" w:rsidP="004B47C9">
      <w:pPr>
        <w:spacing w:line="240" w:lineRule="auto"/>
      </w:pPr>
      <w:r>
        <w:t xml:space="preserve">Het voorjaar van 2012 zal worden besteed aan het opzetten van de CWG en de Advocacy Board. Deze laatste groep zal in april een eerste bijeenkomst hebben. In deze periode zal ook de coördinator worden aangezocht. Ook zullen voorzieningen als huisvesting, computers, beveiliging, etc. in deze periode geregeld gaan worden. </w:t>
      </w:r>
    </w:p>
    <w:p w:rsidR="00C770FF" w:rsidRPr="000B04E2" w:rsidRDefault="00C770FF" w:rsidP="004B47C9">
      <w:pPr>
        <w:spacing w:line="240" w:lineRule="auto"/>
      </w:pPr>
      <w:r>
        <w:lastRenderedPageBreak/>
        <w:t xml:space="preserve">In het najaar van 2012 zal de CWG met fase 1 starten. Eind 2012 zal er een planning kunnen worden overlegd over het doorlopen van de vervolgfasen.  </w:t>
      </w:r>
    </w:p>
    <w:sectPr w:rsidR="00C770FF" w:rsidRPr="000B04E2" w:rsidSect="001E6C3D">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1889" w:rsidRDefault="00311889" w:rsidP="00982C9D">
      <w:pPr>
        <w:spacing w:after="0" w:line="240" w:lineRule="auto"/>
      </w:pPr>
      <w:r>
        <w:separator/>
      </w:r>
    </w:p>
  </w:endnote>
  <w:endnote w:type="continuationSeparator" w:id="0">
    <w:p w:rsidR="00311889" w:rsidRDefault="00311889" w:rsidP="00982C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70FF" w:rsidRDefault="007C0848">
    <w:pPr>
      <w:pStyle w:val="Voettekst"/>
      <w:jc w:val="right"/>
    </w:pPr>
    <w:r>
      <w:fldChar w:fldCharType="begin"/>
    </w:r>
    <w:r>
      <w:instrText xml:space="preserve"> PAGE   \* MERGEFORMAT </w:instrText>
    </w:r>
    <w:r>
      <w:fldChar w:fldCharType="separate"/>
    </w:r>
    <w:r>
      <w:rPr>
        <w:noProof/>
      </w:rPr>
      <w:t>1</w:t>
    </w:r>
    <w:r>
      <w:rPr>
        <w:noProof/>
      </w:rPr>
      <w:fldChar w:fldCharType="end"/>
    </w:r>
  </w:p>
  <w:p w:rsidR="00C770FF" w:rsidRDefault="00C770FF">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1889" w:rsidRDefault="00311889" w:rsidP="00982C9D">
      <w:pPr>
        <w:spacing w:after="0" w:line="240" w:lineRule="auto"/>
      </w:pPr>
      <w:r>
        <w:separator/>
      </w:r>
    </w:p>
  </w:footnote>
  <w:footnote w:type="continuationSeparator" w:id="0">
    <w:p w:rsidR="00311889" w:rsidRDefault="00311889" w:rsidP="00982C9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943025"/>
    <w:multiLevelType w:val="hybridMultilevel"/>
    <w:tmpl w:val="76C006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7985DD8"/>
    <w:multiLevelType w:val="hybridMultilevel"/>
    <w:tmpl w:val="6F7EBEF2"/>
    <w:lvl w:ilvl="0" w:tplc="0413000F">
      <w:start w:val="1"/>
      <w:numFmt w:val="decimal"/>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 w15:restartNumberingAfterBreak="0">
    <w:nsid w:val="235C37AE"/>
    <w:multiLevelType w:val="hybridMultilevel"/>
    <w:tmpl w:val="9288E574"/>
    <w:lvl w:ilvl="0" w:tplc="0413000F">
      <w:start w:val="1"/>
      <w:numFmt w:val="decimal"/>
      <w:lvlText w:val="%1."/>
      <w:lvlJc w:val="left"/>
      <w:pPr>
        <w:tabs>
          <w:tab w:val="num" w:pos="768"/>
        </w:tabs>
        <w:ind w:left="768" w:hanging="360"/>
      </w:pPr>
      <w:rPr>
        <w:rFonts w:cs="Times New Roman"/>
      </w:rPr>
    </w:lvl>
    <w:lvl w:ilvl="1" w:tplc="04130019" w:tentative="1">
      <w:start w:val="1"/>
      <w:numFmt w:val="lowerLetter"/>
      <w:lvlText w:val="%2."/>
      <w:lvlJc w:val="left"/>
      <w:pPr>
        <w:tabs>
          <w:tab w:val="num" w:pos="1488"/>
        </w:tabs>
        <w:ind w:left="1488" w:hanging="360"/>
      </w:pPr>
      <w:rPr>
        <w:rFonts w:cs="Times New Roman"/>
      </w:rPr>
    </w:lvl>
    <w:lvl w:ilvl="2" w:tplc="0413001B" w:tentative="1">
      <w:start w:val="1"/>
      <w:numFmt w:val="lowerRoman"/>
      <w:lvlText w:val="%3."/>
      <w:lvlJc w:val="right"/>
      <w:pPr>
        <w:tabs>
          <w:tab w:val="num" w:pos="2208"/>
        </w:tabs>
        <w:ind w:left="2208" w:hanging="180"/>
      </w:pPr>
      <w:rPr>
        <w:rFonts w:cs="Times New Roman"/>
      </w:rPr>
    </w:lvl>
    <w:lvl w:ilvl="3" w:tplc="0413000F" w:tentative="1">
      <w:start w:val="1"/>
      <w:numFmt w:val="decimal"/>
      <w:lvlText w:val="%4."/>
      <w:lvlJc w:val="left"/>
      <w:pPr>
        <w:tabs>
          <w:tab w:val="num" w:pos="2928"/>
        </w:tabs>
        <w:ind w:left="2928" w:hanging="360"/>
      </w:pPr>
      <w:rPr>
        <w:rFonts w:cs="Times New Roman"/>
      </w:rPr>
    </w:lvl>
    <w:lvl w:ilvl="4" w:tplc="04130019" w:tentative="1">
      <w:start w:val="1"/>
      <w:numFmt w:val="lowerLetter"/>
      <w:lvlText w:val="%5."/>
      <w:lvlJc w:val="left"/>
      <w:pPr>
        <w:tabs>
          <w:tab w:val="num" w:pos="3648"/>
        </w:tabs>
        <w:ind w:left="3648" w:hanging="360"/>
      </w:pPr>
      <w:rPr>
        <w:rFonts w:cs="Times New Roman"/>
      </w:rPr>
    </w:lvl>
    <w:lvl w:ilvl="5" w:tplc="0413001B" w:tentative="1">
      <w:start w:val="1"/>
      <w:numFmt w:val="lowerRoman"/>
      <w:lvlText w:val="%6."/>
      <w:lvlJc w:val="right"/>
      <w:pPr>
        <w:tabs>
          <w:tab w:val="num" w:pos="4368"/>
        </w:tabs>
        <w:ind w:left="4368" w:hanging="180"/>
      </w:pPr>
      <w:rPr>
        <w:rFonts w:cs="Times New Roman"/>
      </w:rPr>
    </w:lvl>
    <w:lvl w:ilvl="6" w:tplc="0413000F" w:tentative="1">
      <w:start w:val="1"/>
      <w:numFmt w:val="decimal"/>
      <w:lvlText w:val="%7."/>
      <w:lvlJc w:val="left"/>
      <w:pPr>
        <w:tabs>
          <w:tab w:val="num" w:pos="5088"/>
        </w:tabs>
        <w:ind w:left="5088" w:hanging="360"/>
      </w:pPr>
      <w:rPr>
        <w:rFonts w:cs="Times New Roman"/>
      </w:rPr>
    </w:lvl>
    <w:lvl w:ilvl="7" w:tplc="04130019" w:tentative="1">
      <w:start w:val="1"/>
      <w:numFmt w:val="lowerLetter"/>
      <w:lvlText w:val="%8."/>
      <w:lvlJc w:val="left"/>
      <w:pPr>
        <w:tabs>
          <w:tab w:val="num" w:pos="5808"/>
        </w:tabs>
        <w:ind w:left="5808" w:hanging="360"/>
      </w:pPr>
      <w:rPr>
        <w:rFonts w:cs="Times New Roman"/>
      </w:rPr>
    </w:lvl>
    <w:lvl w:ilvl="8" w:tplc="0413001B" w:tentative="1">
      <w:start w:val="1"/>
      <w:numFmt w:val="lowerRoman"/>
      <w:lvlText w:val="%9."/>
      <w:lvlJc w:val="right"/>
      <w:pPr>
        <w:tabs>
          <w:tab w:val="num" w:pos="6528"/>
        </w:tabs>
        <w:ind w:left="6528" w:hanging="180"/>
      </w:pPr>
      <w:rPr>
        <w:rFonts w:cs="Times New Roman"/>
      </w:rPr>
    </w:lvl>
  </w:abstractNum>
  <w:abstractNum w:abstractNumId="3" w15:restartNumberingAfterBreak="0">
    <w:nsid w:val="247E3E04"/>
    <w:multiLevelType w:val="hybridMultilevel"/>
    <w:tmpl w:val="DA1014DA"/>
    <w:lvl w:ilvl="0" w:tplc="04130001">
      <w:start w:val="1"/>
      <w:numFmt w:val="bullet"/>
      <w:lvlText w:val=""/>
      <w:lvlJc w:val="left"/>
      <w:pPr>
        <w:tabs>
          <w:tab w:val="num" w:pos="720"/>
        </w:tabs>
        <w:ind w:left="720" w:hanging="360"/>
      </w:pPr>
      <w:rPr>
        <w:rFonts w:ascii="Symbol" w:hAnsi="Symbol" w:hint="default"/>
      </w:rPr>
    </w:lvl>
    <w:lvl w:ilvl="1" w:tplc="04130019" w:tentative="1">
      <w:start w:val="1"/>
      <w:numFmt w:val="lowerLetter"/>
      <w:lvlText w:val="%2."/>
      <w:lvlJc w:val="left"/>
      <w:pPr>
        <w:tabs>
          <w:tab w:val="num" w:pos="1488"/>
        </w:tabs>
        <w:ind w:left="1488" w:hanging="360"/>
      </w:pPr>
      <w:rPr>
        <w:rFonts w:cs="Times New Roman"/>
      </w:rPr>
    </w:lvl>
    <w:lvl w:ilvl="2" w:tplc="0413001B" w:tentative="1">
      <w:start w:val="1"/>
      <w:numFmt w:val="lowerRoman"/>
      <w:lvlText w:val="%3."/>
      <w:lvlJc w:val="right"/>
      <w:pPr>
        <w:tabs>
          <w:tab w:val="num" w:pos="2208"/>
        </w:tabs>
        <w:ind w:left="2208" w:hanging="180"/>
      </w:pPr>
      <w:rPr>
        <w:rFonts w:cs="Times New Roman"/>
      </w:rPr>
    </w:lvl>
    <w:lvl w:ilvl="3" w:tplc="0413000F" w:tentative="1">
      <w:start w:val="1"/>
      <w:numFmt w:val="decimal"/>
      <w:lvlText w:val="%4."/>
      <w:lvlJc w:val="left"/>
      <w:pPr>
        <w:tabs>
          <w:tab w:val="num" w:pos="2928"/>
        </w:tabs>
        <w:ind w:left="2928" w:hanging="360"/>
      </w:pPr>
      <w:rPr>
        <w:rFonts w:cs="Times New Roman"/>
      </w:rPr>
    </w:lvl>
    <w:lvl w:ilvl="4" w:tplc="04130019" w:tentative="1">
      <w:start w:val="1"/>
      <w:numFmt w:val="lowerLetter"/>
      <w:lvlText w:val="%5."/>
      <w:lvlJc w:val="left"/>
      <w:pPr>
        <w:tabs>
          <w:tab w:val="num" w:pos="3648"/>
        </w:tabs>
        <w:ind w:left="3648" w:hanging="360"/>
      </w:pPr>
      <w:rPr>
        <w:rFonts w:cs="Times New Roman"/>
      </w:rPr>
    </w:lvl>
    <w:lvl w:ilvl="5" w:tplc="0413001B" w:tentative="1">
      <w:start w:val="1"/>
      <w:numFmt w:val="lowerRoman"/>
      <w:lvlText w:val="%6."/>
      <w:lvlJc w:val="right"/>
      <w:pPr>
        <w:tabs>
          <w:tab w:val="num" w:pos="4368"/>
        </w:tabs>
        <w:ind w:left="4368" w:hanging="180"/>
      </w:pPr>
      <w:rPr>
        <w:rFonts w:cs="Times New Roman"/>
      </w:rPr>
    </w:lvl>
    <w:lvl w:ilvl="6" w:tplc="0413000F" w:tentative="1">
      <w:start w:val="1"/>
      <w:numFmt w:val="decimal"/>
      <w:lvlText w:val="%7."/>
      <w:lvlJc w:val="left"/>
      <w:pPr>
        <w:tabs>
          <w:tab w:val="num" w:pos="5088"/>
        </w:tabs>
        <w:ind w:left="5088" w:hanging="360"/>
      </w:pPr>
      <w:rPr>
        <w:rFonts w:cs="Times New Roman"/>
      </w:rPr>
    </w:lvl>
    <w:lvl w:ilvl="7" w:tplc="04130019" w:tentative="1">
      <w:start w:val="1"/>
      <w:numFmt w:val="lowerLetter"/>
      <w:lvlText w:val="%8."/>
      <w:lvlJc w:val="left"/>
      <w:pPr>
        <w:tabs>
          <w:tab w:val="num" w:pos="5808"/>
        </w:tabs>
        <w:ind w:left="5808" w:hanging="360"/>
      </w:pPr>
      <w:rPr>
        <w:rFonts w:cs="Times New Roman"/>
      </w:rPr>
    </w:lvl>
    <w:lvl w:ilvl="8" w:tplc="0413001B" w:tentative="1">
      <w:start w:val="1"/>
      <w:numFmt w:val="lowerRoman"/>
      <w:lvlText w:val="%9."/>
      <w:lvlJc w:val="right"/>
      <w:pPr>
        <w:tabs>
          <w:tab w:val="num" w:pos="6528"/>
        </w:tabs>
        <w:ind w:left="6528" w:hanging="180"/>
      </w:pPr>
      <w:rPr>
        <w:rFonts w:cs="Times New Roman"/>
      </w:rPr>
    </w:lvl>
  </w:abstractNum>
  <w:abstractNum w:abstractNumId="4" w15:restartNumberingAfterBreak="0">
    <w:nsid w:val="39AE1112"/>
    <w:multiLevelType w:val="hybridMultilevel"/>
    <w:tmpl w:val="3ABC9516"/>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3BE80361"/>
    <w:multiLevelType w:val="hybridMultilevel"/>
    <w:tmpl w:val="60C832E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0217F76"/>
    <w:multiLevelType w:val="hybridMultilevel"/>
    <w:tmpl w:val="330A6982"/>
    <w:lvl w:ilvl="0" w:tplc="0413000F">
      <w:start w:val="1"/>
      <w:numFmt w:val="decimal"/>
      <w:lvlText w:val="%1."/>
      <w:lvlJc w:val="left"/>
      <w:pPr>
        <w:tabs>
          <w:tab w:val="num" w:pos="720"/>
        </w:tabs>
        <w:ind w:left="720" w:hanging="360"/>
      </w:pPr>
      <w:rPr>
        <w:rFonts w:cs="Times New Roman"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55F30361"/>
    <w:multiLevelType w:val="hybridMultilevel"/>
    <w:tmpl w:val="B0704B8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6558251D"/>
    <w:multiLevelType w:val="hybridMultilevel"/>
    <w:tmpl w:val="F556727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72B55465"/>
    <w:multiLevelType w:val="hybridMultilevel"/>
    <w:tmpl w:val="D9ECEE8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8"/>
  </w:num>
  <w:num w:numId="4">
    <w:abstractNumId w:val="0"/>
  </w:num>
  <w:num w:numId="5">
    <w:abstractNumId w:val="9"/>
  </w:num>
  <w:num w:numId="6">
    <w:abstractNumId w:val="2"/>
  </w:num>
  <w:num w:numId="7">
    <w:abstractNumId w:val="3"/>
  </w:num>
  <w:num w:numId="8">
    <w:abstractNumId w:val="4"/>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121"/>
    <w:rsid w:val="0000057B"/>
    <w:rsid w:val="00001CB5"/>
    <w:rsid w:val="00041809"/>
    <w:rsid w:val="000424A9"/>
    <w:rsid w:val="000664B6"/>
    <w:rsid w:val="000B04E2"/>
    <w:rsid w:val="000D157E"/>
    <w:rsid w:val="00176322"/>
    <w:rsid w:val="001B5521"/>
    <w:rsid w:val="001D0465"/>
    <w:rsid w:val="001E6C3D"/>
    <w:rsid w:val="0020497C"/>
    <w:rsid w:val="00292AB9"/>
    <w:rsid w:val="002E7024"/>
    <w:rsid w:val="002F6B9C"/>
    <w:rsid w:val="00311889"/>
    <w:rsid w:val="00315A50"/>
    <w:rsid w:val="003171CA"/>
    <w:rsid w:val="003275DD"/>
    <w:rsid w:val="003B1D31"/>
    <w:rsid w:val="003B4B11"/>
    <w:rsid w:val="003C13BA"/>
    <w:rsid w:val="00402121"/>
    <w:rsid w:val="0042756D"/>
    <w:rsid w:val="004337EB"/>
    <w:rsid w:val="004A4097"/>
    <w:rsid w:val="004B47C9"/>
    <w:rsid w:val="004F590E"/>
    <w:rsid w:val="005D722D"/>
    <w:rsid w:val="00683586"/>
    <w:rsid w:val="00702097"/>
    <w:rsid w:val="00703C67"/>
    <w:rsid w:val="00710DC4"/>
    <w:rsid w:val="00732D23"/>
    <w:rsid w:val="00734E36"/>
    <w:rsid w:val="00782DEE"/>
    <w:rsid w:val="007A0334"/>
    <w:rsid w:val="007C0848"/>
    <w:rsid w:val="007C4862"/>
    <w:rsid w:val="007C4CEA"/>
    <w:rsid w:val="007D429E"/>
    <w:rsid w:val="007E67A2"/>
    <w:rsid w:val="008041F2"/>
    <w:rsid w:val="008302B0"/>
    <w:rsid w:val="008674BC"/>
    <w:rsid w:val="00890DED"/>
    <w:rsid w:val="008A5174"/>
    <w:rsid w:val="008B46DA"/>
    <w:rsid w:val="008C7C16"/>
    <w:rsid w:val="008D55FA"/>
    <w:rsid w:val="008E6475"/>
    <w:rsid w:val="009009D3"/>
    <w:rsid w:val="00982C9D"/>
    <w:rsid w:val="00997F06"/>
    <w:rsid w:val="00A144AC"/>
    <w:rsid w:val="00A2485F"/>
    <w:rsid w:val="00A33ACA"/>
    <w:rsid w:val="00A71FE0"/>
    <w:rsid w:val="00A80D6E"/>
    <w:rsid w:val="00BD039D"/>
    <w:rsid w:val="00BD24BD"/>
    <w:rsid w:val="00C002D2"/>
    <w:rsid w:val="00C770FF"/>
    <w:rsid w:val="00C83A7A"/>
    <w:rsid w:val="00C86A34"/>
    <w:rsid w:val="00CC3FED"/>
    <w:rsid w:val="00D37D55"/>
    <w:rsid w:val="00DA66B4"/>
    <w:rsid w:val="00DE6F63"/>
    <w:rsid w:val="00E34C47"/>
    <w:rsid w:val="00EA581D"/>
    <w:rsid w:val="00EA7A8C"/>
    <w:rsid w:val="00EB681B"/>
    <w:rsid w:val="00EC389C"/>
    <w:rsid w:val="00F055BA"/>
    <w:rsid w:val="00F37D7D"/>
    <w:rsid w:val="00F7618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F74BCFE-D52D-4072-B609-115B761DB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nl-NL" w:eastAsia="nl-N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E6C3D"/>
    <w:pPr>
      <w:spacing w:after="200" w:line="276" w:lineRule="auto"/>
    </w:pPr>
    <w:rPr>
      <w:lang w:eastAsia="en-US"/>
    </w:rPr>
  </w:style>
  <w:style w:type="paragraph" w:styleId="Kop1">
    <w:name w:val="heading 1"/>
    <w:basedOn w:val="Standaard"/>
    <w:next w:val="Standaard"/>
    <w:link w:val="Kop1Char"/>
    <w:uiPriority w:val="99"/>
    <w:qFormat/>
    <w:rsid w:val="00F76187"/>
    <w:pPr>
      <w:keepNext/>
      <w:keepLines/>
      <w:spacing w:before="480" w:after="0"/>
      <w:outlineLvl w:val="0"/>
    </w:pPr>
    <w:rPr>
      <w:rFonts w:ascii="Cambria" w:eastAsia="Times New Roman" w:hAnsi="Cambria"/>
      <w:b/>
      <w:bCs/>
      <w:color w:val="365F91"/>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sid w:val="00F76187"/>
    <w:rPr>
      <w:rFonts w:ascii="Cambria" w:hAnsi="Cambria" w:cs="Times New Roman"/>
      <w:b/>
      <w:bCs/>
      <w:color w:val="365F91"/>
      <w:sz w:val="28"/>
      <w:szCs w:val="28"/>
    </w:rPr>
  </w:style>
  <w:style w:type="paragraph" w:styleId="Lijstalinea">
    <w:name w:val="List Paragraph"/>
    <w:basedOn w:val="Standaard"/>
    <w:uiPriority w:val="34"/>
    <w:qFormat/>
    <w:rsid w:val="00402121"/>
    <w:pPr>
      <w:ind w:left="720"/>
      <w:contextualSpacing/>
    </w:pPr>
  </w:style>
  <w:style w:type="paragraph" w:styleId="Titel">
    <w:name w:val="Title"/>
    <w:basedOn w:val="Standaard"/>
    <w:next w:val="Standaard"/>
    <w:link w:val="TitelChar"/>
    <w:uiPriority w:val="99"/>
    <w:qFormat/>
    <w:rsid w:val="00C86A34"/>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elChar">
    <w:name w:val="Titel Char"/>
    <w:basedOn w:val="Standaardalinea-lettertype"/>
    <w:link w:val="Titel"/>
    <w:uiPriority w:val="99"/>
    <w:locked/>
    <w:rsid w:val="00C86A34"/>
    <w:rPr>
      <w:rFonts w:ascii="Cambria" w:hAnsi="Cambria" w:cs="Times New Roman"/>
      <w:color w:val="17365D"/>
      <w:spacing w:val="5"/>
      <w:kern w:val="28"/>
      <w:sz w:val="52"/>
      <w:szCs w:val="52"/>
    </w:rPr>
  </w:style>
  <w:style w:type="paragraph" w:styleId="Ondertitel">
    <w:name w:val="Subtitle"/>
    <w:basedOn w:val="Standaard"/>
    <w:next w:val="Standaard"/>
    <w:link w:val="OndertitelChar"/>
    <w:uiPriority w:val="99"/>
    <w:qFormat/>
    <w:rsid w:val="003275DD"/>
    <w:pPr>
      <w:numPr>
        <w:ilvl w:val="1"/>
      </w:numPr>
    </w:pPr>
    <w:rPr>
      <w:rFonts w:ascii="Cambria" w:eastAsia="Times New Roman" w:hAnsi="Cambria"/>
      <w:i/>
      <w:iCs/>
      <w:color w:val="4F81BD"/>
      <w:spacing w:val="15"/>
      <w:sz w:val="24"/>
      <w:szCs w:val="24"/>
    </w:rPr>
  </w:style>
  <w:style w:type="character" w:customStyle="1" w:styleId="OndertitelChar">
    <w:name w:val="Ondertitel Char"/>
    <w:basedOn w:val="Standaardalinea-lettertype"/>
    <w:link w:val="Ondertitel"/>
    <w:uiPriority w:val="99"/>
    <w:locked/>
    <w:rsid w:val="003275DD"/>
    <w:rPr>
      <w:rFonts w:ascii="Cambria" w:hAnsi="Cambria" w:cs="Times New Roman"/>
      <w:i/>
      <w:iCs/>
      <w:color w:val="4F81BD"/>
      <w:spacing w:val="15"/>
      <w:sz w:val="24"/>
      <w:szCs w:val="24"/>
    </w:rPr>
  </w:style>
  <w:style w:type="paragraph" w:styleId="Koptekst">
    <w:name w:val="header"/>
    <w:basedOn w:val="Standaard"/>
    <w:link w:val="KoptekstChar"/>
    <w:uiPriority w:val="99"/>
    <w:semiHidden/>
    <w:rsid w:val="00982C9D"/>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locked/>
    <w:rsid w:val="00982C9D"/>
    <w:rPr>
      <w:rFonts w:cs="Times New Roman"/>
    </w:rPr>
  </w:style>
  <w:style w:type="paragraph" w:styleId="Voettekst">
    <w:name w:val="footer"/>
    <w:basedOn w:val="Standaard"/>
    <w:link w:val="VoettekstChar"/>
    <w:uiPriority w:val="99"/>
    <w:rsid w:val="00982C9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locked/>
    <w:rsid w:val="00982C9D"/>
    <w:rPr>
      <w:rFonts w:cs="Times New Roman"/>
    </w:rPr>
  </w:style>
  <w:style w:type="paragraph" w:styleId="Normaalweb">
    <w:name w:val="Normal (Web)"/>
    <w:basedOn w:val="Standaard"/>
    <w:uiPriority w:val="99"/>
    <w:rsid w:val="00982C9D"/>
    <w:pPr>
      <w:spacing w:before="100" w:beforeAutospacing="1" w:after="100" w:afterAutospacing="1" w:line="240" w:lineRule="auto"/>
    </w:pPr>
    <w:rPr>
      <w:rFonts w:ascii="Times New Roman" w:eastAsia="Times New Roman" w:hAnsi="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393180">
      <w:marLeft w:val="0"/>
      <w:marRight w:val="0"/>
      <w:marTop w:val="0"/>
      <w:marBottom w:val="0"/>
      <w:divBdr>
        <w:top w:val="none" w:sz="0" w:space="0" w:color="auto"/>
        <w:left w:val="none" w:sz="0" w:space="0" w:color="auto"/>
        <w:bottom w:val="none" w:sz="0" w:space="0" w:color="auto"/>
        <w:right w:val="none" w:sz="0" w:space="0" w:color="auto"/>
      </w:divBdr>
      <w:divsChild>
        <w:div w:id="143393181">
          <w:marLeft w:val="0"/>
          <w:marRight w:val="0"/>
          <w:marTop w:val="0"/>
          <w:marBottom w:val="0"/>
          <w:divBdr>
            <w:top w:val="none" w:sz="0" w:space="0" w:color="auto"/>
            <w:left w:val="none" w:sz="0" w:space="0" w:color="auto"/>
            <w:bottom w:val="none" w:sz="0" w:space="0" w:color="auto"/>
            <w:right w:val="none" w:sz="0" w:space="0" w:color="auto"/>
          </w:divBdr>
          <w:divsChild>
            <w:div w:id="143393178">
              <w:marLeft w:val="0"/>
              <w:marRight w:val="0"/>
              <w:marTop w:val="0"/>
              <w:marBottom w:val="0"/>
              <w:divBdr>
                <w:top w:val="none" w:sz="0" w:space="0" w:color="auto"/>
                <w:left w:val="none" w:sz="0" w:space="0" w:color="auto"/>
                <w:bottom w:val="none" w:sz="0" w:space="0" w:color="auto"/>
                <w:right w:val="none" w:sz="0" w:space="0" w:color="auto"/>
              </w:divBdr>
              <w:divsChild>
                <w:div w:id="143393187">
                  <w:marLeft w:val="0"/>
                  <w:marRight w:val="0"/>
                  <w:marTop w:val="0"/>
                  <w:marBottom w:val="0"/>
                  <w:divBdr>
                    <w:top w:val="none" w:sz="0" w:space="0" w:color="auto"/>
                    <w:left w:val="none" w:sz="0" w:space="0" w:color="auto"/>
                    <w:bottom w:val="none" w:sz="0" w:space="0" w:color="auto"/>
                    <w:right w:val="none" w:sz="0" w:space="0" w:color="auto"/>
                  </w:divBdr>
                  <w:divsChild>
                    <w:div w:id="14339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393182">
      <w:marLeft w:val="0"/>
      <w:marRight w:val="0"/>
      <w:marTop w:val="0"/>
      <w:marBottom w:val="0"/>
      <w:divBdr>
        <w:top w:val="none" w:sz="0" w:space="0" w:color="auto"/>
        <w:left w:val="none" w:sz="0" w:space="0" w:color="auto"/>
        <w:bottom w:val="none" w:sz="0" w:space="0" w:color="auto"/>
        <w:right w:val="none" w:sz="0" w:space="0" w:color="auto"/>
      </w:divBdr>
      <w:divsChild>
        <w:div w:id="143393183">
          <w:marLeft w:val="0"/>
          <w:marRight w:val="0"/>
          <w:marTop w:val="0"/>
          <w:marBottom w:val="0"/>
          <w:divBdr>
            <w:top w:val="none" w:sz="0" w:space="0" w:color="auto"/>
            <w:left w:val="none" w:sz="0" w:space="0" w:color="auto"/>
            <w:bottom w:val="none" w:sz="0" w:space="0" w:color="auto"/>
            <w:right w:val="none" w:sz="0" w:space="0" w:color="auto"/>
          </w:divBdr>
          <w:divsChild>
            <w:div w:id="143393184">
              <w:marLeft w:val="0"/>
              <w:marRight w:val="0"/>
              <w:marTop w:val="0"/>
              <w:marBottom w:val="0"/>
              <w:divBdr>
                <w:top w:val="none" w:sz="0" w:space="0" w:color="auto"/>
                <w:left w:val="none" w:sz="0" w:space="0" w:color="auto"/>
                <w:bottom w:val="none" w:sz="0" w:space="0" w:color="auto"/>
                <w:right w:val="none" w:sz="0" w:space="0" w:color="auto"/>
              </w:divBdr>
              <w:divsChild>
                <w:div w:id="143393186">
                  <w:marLeft w:val="0"/>
                  <w:marRight w:val="0"/>
                  <w:marTop w:val="0"/>
                  <w:marBottom w:val="0"/>
                  <w:divBdr>
                    <w:top w:val="none" w:sz="0" w:space="0" w:color="auto"/>
                    <w:left w:val="none" w:sz="0" w:space="0" w:color="auto"/>
                    <w:bottom w:val="none" w:sz="0" w:space="0" w:color="auto"/>
                    <w:right w:val="none" w:sz="0" w:space="0" w:color="auto"/>
                  </w:divBdr>
                  <w:divsChild>
                    <w:div w:id="14339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1392</Words>
  <Characters>7658</Characters>
  <Application>Microsoft Office Word</Application>
  <DocSecurity>4</DocSecurity>
  <Lines>63</Lines>
  <Paragraphs>18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Corrumperende culturen</vt:lpstr>
      <vt:lpstr>Corrumperende culturen </vt:lpstr>
    </vt:vector>
  </TitlesOfParts>
  <Company>Hogeschool van Amsterdam</Company>
  <LinksUpToDate>false</LinksUpToDate>
  <CharactersWithSpaces>9032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Corrumperende culturen</dc:title>
  <dc:creator>straa</dc:creator>
  <cp:lastModifiedBy>I.M. van Sligtenhorst-de Block</cp:lastModifiedBy>
  <cp:revision>2</cp:revision>
  <dcterms:created xsi:type="dcterms:W3CDTF">2017-03-31T09:04:00Z</dcterms:created>
  <dcterms:modified xsi:type="dcterms:W3CDTF">2017-03-31T09:04:00Z</dcterms:modified>
</cp:coreProperties>
</file>